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sz w:val="20"/>
                <w:rtl w:val="0"/>
                <w:lang w:val="vi-VN" w:eastAsia="vi-VN"/>
              </w:rPr>
              <w:t>BỘ TÀI CHÍNH</w:t>
            </w:r>
            <w:r>
              <w:rPr>
                <w:b/>
                <w:bCs/>
                <w:sz w:val="20"/>
                <w:rtl w:val="0"/>
                <w:lang w:val="vi-VN" w:eastAsia="vi-VN"/>
              </w:rPr>
              <w:t xml:space="preserve"> </w:t>
            </w:r>
            <w:r>
              <w:rPr>
                <w:b/>
                <w:bCs/>
                <w:sz w:val="20"/>
                <w:rtl w:val="0"/>
              </w:rPr>
              <w:br/>
            </w:r>
            <w:r>
              <w:rPr>
                <w:b/>
                <w:bCs/>
                <w:sz w:val="20"/>
                <w:rtl w:val="0"/>
                <w:lang w:val="vi-VN" w:eastAsia="vi-VN"/>
              </w:rPr>
              <w:t>CỤC THUẾ</w:t>
            </w:r>
            <w:r>
              <w:rPr>
                <w:b/>
                <w:bCs/>
                <w:sz w:val="20"/>
                <w:rtl w:val="0"/>
                <w:lang w:val="vi-VN" w:eastAsia="vi-VN"/>
              </w:rPr>
              <w:br/>
            </w:r>
            <w:r>
              <w:rPr>
                <w:b/>
                <w:bCs/>
                <w:sz w:val="20"/>
                <w:rtl w:val="0"/>
                <w:lang w:val="vi-VN" w:eastAsia="vi-VN"/>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sz w:val="20"/>
                <w:rtl w:val="0"/>
                <w:lang w:val="vi-VN" w:eastAsia="vi-VN"/>
              </w:rPr>
              <w:t>CỘNG HÒA XÃ HỘI CHỦ NGHĨA VIỆT NAM</w:t>
            </w:r>
            <w:r>
              <w:rPr>
                <w:b/>
                <w:bCs/>
                <w:sz w:val="20"/>
                <w:rtl w:val="0"/>
                <w:lang w:val="vi-VN" w:eastAsia="vi-VN"/>
              </w:rPr>
              <w:br/>
            </w:r>
            <w:r>
              <w:rPr>
                <w:b/>
                <w:bCs/>
                <w:sz w:val="20"/>
                <w:rtl w:val="0"/>
                <w:lang w:val="vi-VN" w:eastAsia="vi-VN"/>
              </w:rPr>
              <w:t xml:space="preserve">Độc lập - Tự do - Hạnh phúc </w:t>
            </w:r>
            <w:r>
              <w:rPr>
                <w:b/>
                <w:bCs/>
                <w:sz w:val="20"/>
                <w:rtl w:val="0"/>
                <w:lang w:val="vi-VN" w:eastAsia="vi-VN"/>
              </w:rPr>
              <w:br/>
            </w:r>
            <w:r>
              <w:rPr>
                <w:b/>
                <w:bCs/>
                <w:sz w:val="20"/>
                <w:rtl w:val="0"/>
                <w:lang w:val="vi-VN" w:eastAsia="vi-VN"/>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r>
              <w:rPr>
                <w:sz w:val="20"/>
                <w:rtl w:val="0"/>
                <w:lang w:val="vi-VN" w:eastAsia="vi-VN"/>
              </w:rPr>
              <w:t xml:space="preserve">Số: </w:t>
            </w:r>
            <w:r>
              <w:rPr>
                <w:sz w:val="20"/>
                <w:rtl w:val="0"/>
                <w:lang w:val="vi-VN" w:eastAsia="vi-VN"/>
              </w:rPr>
              <w:t>6</w:t>
            </w:r>
            <w:r>
              <w:rPr>
                <w:sz w:val="20"/>
                <w:rtl w:val="0"/>
              </w:rPr>
              <w:t>810/CT-</w:t>
            </w:r>
            <w:r>
              <w:rPr>
                <w:sz w:val="20"/>
                <w:rtl w:val="0"/>
                <w:lang w:val="vi-VN" w:eastAsia="vi-VN"/>
              </w:rPr>
              <w:t>QLNT</w:t>
            </w:r>
            <w:r>
              <w:rPr>
                <w:sz w:val="20"/>
                <w:rtl w:val="0"/>
              </w:rPr>
              <w:br/>
            </w:r>
            <w:r>
              <w:rPr>
                <w:i/>
                <w:iCs/>
                <w:sz w:val="16"/>
                <w:rtl w:val="0"/>
                <w:lang w:val="vi-VN" w:eastAsia="vi-VN"/>
              </w:rPr>
              <w:t>V/v hướng dẫn về tỷ giá trên hóa đơn</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sz w:val="20"/>
                <w:rtl w:val="0"/>
                <w:lang w:val="vi-VN" w:eastAsia="vi-VN"/>
              </w:rPr>
              <w:t xml:space="preserve">Hà Nội, ngày </w:t>
            </w:r>
            <w:r>
              <w:rPr>
                <w:i/>
                <w:iCs/>
                <w:sz w:val="20"/>
                <w:rtl w:val="0"/>
              </w:rPr>
              <w:t>14</w:t>
            </w:r>
            <w:r>
              <w:rPr>
                <w:i/>
                <w:iCs/>
                <w:sz w:val="20"/>
                <w:rtl w:val="0"/>
                <w:lang w:val="vi-VN" w:eastAsia="vi-VN"/>
              </w:rPr>
              <w:t xml:space="preserve"> tháng 9 năm</w:t>
            </w:r>
            <w:r>
              <w:rPr>
                <w:i/>
                <w:iCs/>
                <w:sz w:val="20"/>
                <w:rtl w:val="0"/>
              </w:rPr>
              <w:t xml:space="preserve"> 2026</w:t>
            </w:r>
            <w:r>
              <w:rPr>
                <w:i/>
                <w:iCs/>
                <w:sz w:val="20"/>
                <w:rtl w:val="0"/>
                <w:lang w:val="vi-VN" w:eastAsia="vi-VN"/>
              </w:rPr>
              <w:t xml:space="preserve"> </w:t>
            </w:r>
          </w:p>
        </w:tc>
      </w:tr>
    </w:tbl>
    <w:p>
      <w:pPr>
        <w:bidi w:val="0"/>
        <w:spacing w:before="120" w:beforeAutospacing="0" w:after="280" w:afterAutospacing="1"/>
      </w:pPr>
      <w:r>
        <w:rPr>
          <w:sz w:val="20"/>
          <w:rtl w:val="0"/>
        </w:rPr>
        <w:t> </w:t>
      </w:r>
    </w:p>
    <w:tbl>
      <w:tblPr>
        <w:jc w:val="left"/>
        <w:tblCellMar>
          <w:top w:w="0" w:type="dxa"/>
          <w:left w:w="0" w:type="dxa"/>
          <w:bottom w:w="0" w:type="dxa"/>
          <w:right w:w="0" w:type="dxa"/>
        </w:tblCellMar>
      </w:tblPr>
      <w:tblGrid>
        <w:gridCol w:w="2990"/>
        <w:gridCol w:w="5650"/>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jc w:val="right"/>
            </w:pPr>
            <w:r>
              <w:rPr>
                <w:b/>
                <w:bCs/>
                <w:sz w:val="20"/>
                <w:rtl w:val="0"/>
                <w:lang w:val="vi-VN" w:eastAsia="vi-VN"/>
              </w:rPr>
              <w:t>Kính gửi:</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sz w:val="20"/>
                <w:rtl w:val="0"/>
                <w:lang w:val="vi-VN" w:eastAsia="vi-VN"/>
              </w:rPr>
              <w:t>- Hiệp hội Doanh nghiệp Đầu tư nước ngoài;</w:t>
            </w:r>
            <w:r>
              <w:rPr>
                <w:sz w:val="20"/>
                <w:rtl w:val="0"/>
              </w:rPr>
              <w:br/>
            </w:r>
            <w:r>
              <w:rPr>
                <w:i/>
                <w:iCs/>
                <w:sz w:val="20"/>
                <w:rtl w:val="0"/>
                <w:lang w:val="vi-VN" w:eastAsia="vi-VN"/>
              </w:rPr>
              <w:t>(Địa chỉ: Tầng 10, Tòa nhà VET, số 96-98 Hoàng Quốc Việt, Nghĩa Đô, Hà Nội)</w:t>
            </w:r>
            <w:r>
              <w:rPr>
                <w:sz w:val="20"/>
                <w:rtl w:val="0"/>
              </w:rPr>
              <w:br/>
            </w:r>
            <w:r>
              <w:rPr>
                <w:sz w:val="20"/>
                <w:rtl w:val="0"/>
                <w:lang w:val="vi-VN" w:eastAsia="vi-VN"/>
              </w:rPr>
              <w:t>- Hiệp hội chế biến và xuất khẩu thủy sản;</w:t>
            </w:r>
            <w:r>
              <w:rPr>
                <w:sz w:val="20"/>
                <w:rtl w:val="0"/>
              </w:rPr>
              <w:br/>
            </w:r>
            <w:r>
              <w:rPr>
                <w:i/>
                <w:iCs/>
                <w:sz w:val="20"/>
                <w:rtl w:val="0"/>
                <w:lang w:val="vi-VN" w:eastAsia="vi-VN"/>
              </w:rPr>
              <w:t>(Địa chỉ: số 10 Nguyễn Công Hoan, Ba Đình, Hà Nội)</w:t>
            </w:r>
            <w:r>
              <w:rPr>
                <w:sz w:val="20"/>
                <w:rtl w:val="0"/>
              </w:rPr>
              <w:br/>
            </w:r>
            <w:r>
              <w:rPr>
                <w:sz w:val="20"/>
                <w:rtl w:val="0"/>
                <w:lang w:val="vi-VN" w:eastAsia="vi-VN"/>
              </w:rPr>
              <w:t>- Hiệp hội Hồ tiêu và cây gia vị Việt Nam;</w:t>
            </w:r>
            <w:r>
              <w:rPr>
                <w:sz w:val="20"/>
                <w:rtl w:val="0"/>
              </w:rPr>
              <w:br/>
            </w:r>
            <w:r>
              <w:rPr>
                <w:i/>
                <w:iCs/>
                <w:sz w:val="20"/>
                <w:rtl w:val="0"/>
                <w:lang w:val="vi-VN" w:eastAsia="vi-VN"/>
              </w:rPr>
              <w:t>(Địa chỉ: số 135A Pasteur, Xuân Hòa, Hồ Chí Minh)</w:t>
            </w:r>
            <w:r>
              <w:rPr>
                <w:sz w:val="20"/>
                <w:rtl w:val="0"/>
              </w:rPr>
              <w:br/>
            </w:r>
            <w:r>
              <w:rPr>
                <w:sz w:val="20"/>
                <w:rtl w:val="0"/>
                <w:lang w:val="vi-VN" w:eastAsia="vi-VN"/>
              </w:rPr>
              <w:t>- Hiệp hội doanh nghiệp Hàn Quốc</w:t>
            </w:r>
            <w:r>
              <w:rPr>
                <w:sz w:val="20"/>
                <w:rtl w:val="0"/>
              </w:rPr>
              <w:br/>
            </w:r>
            <w:r>
              <w:rPr>
                <w:i/>
                <w:iCs/>
                <w:sz w:val="20"/>
                <w:rtl w:val="0"/>
                <w:lang w:val="vi-VN" w:eastAsia="vi-VN"/>
              </w:rPr>
              <w:t>(Địa chỉ Tầng 13, Tòa nhà Charmv</w:t>
            </w:r>
            <w:r>
              <w:rPr>
                <w:i/>
                <w:iCs/>
                <w:sz w:val="20"/>
                <w:rtl w:val="0"/>
              </w:rPr>
              <w:t>i</w:t>
            </w:r>
            <w:r>
              <w:rPr>
                <w:i/>
                <w:iCs/>
                <w:sz w:val="20"/>
                <w:rtl w:val="0"/>
                <w:lang w:val="vi-VN" w:eastAsia="vi-VN"/>
              </w:rPr>
              <w:t>t, 117 Trần Duy Hưng, Hà Nội)</w:t>
            </w:r>
          </w:p>
        </w:tc>
      </w:tr>
    </w:tbl>
    <w:p>
      <w:pPr>
        <w:bidi w:val="0"/>
        <w:spacing w:before="120" w:beforeAutospacing="0" w:after="280" w:afterAutospacing="1"/>
      </w:pPr>
      <w:r>
        <w:rPr>
          <w:sz w:val="20"/>
          <w:rtl w:val="0"/>
          <w:lang w:val="vi-VN" w:eastAsia="vi-VN"/>
        </w:rPr>
        <w:t>Thực hiện Nghị định số 254/2026/NĐ-CP ngày 30/6/2026 của Chính phủ quy định chi tiết một số điều và biện pháp để tổ chức, hướng dẫn thi hành Luật Quản lý thuế số 108/2025/QH15 về hóa đơn điện tử, chứng từ điện tử, Cục Thuế nhận được một số phản ánh về việc xác định tỷ giá ngoại tệ thể hiện trên hóa đơn điện tử. Để thống nhất trong thực hiện pháp luật, Cục Thuế có ý kiến như sau:</w:t>
      </w:r>
    </w:p>
    <w:p>
      <w:pPr>
        <w:bidi w:val="0"/>
        <w:spacing w:before="120" w:beforeAutospacing="0" w:after="280" w:afterAutospacing="1"/>
      </w:pPr>
      <w:r>
        <w:rPr>
          <w:sz w:val="20"/>
          <w:rtl w:val="0"/>
          <w:lang w:val="vi-VN" w:eastAsia="vi-VN"/>
        </w:rPr>
        <w:t>Tại điểm c.</w:t>
      </w:r>
      <w:r>
        <w:rPr>
          <w:sz w:val="20"/>
          <w:rtl w:val="0"/>
        </w:rPr>
        <w:t>1</w:t>
      </w:r>
      <w:r>
        <w:rPr>
          <w:sz w:val="20"/>
          <w:rtl w:val="0"/>
          <w:lang w:val="vi-VN" w:eastAsia="vi-VN"/>
        </w:rPr>
        <w:t xml:space="preserve"> khoản 8 Điều 10 Nghị định số 254/2026/NĐ-CP quy định:</w:t>
      </w:r>
    </w:p>
    <w:p>
      <w:pPr>
        <w:bidi w:val="0"/>
        <w:spacing w:before="120" w:beforeAutospacing="0" w:after="280" w:afterAutospacing="1"/>
      </w:pPr>
      <w:r>
        <w:rPr>
          <w:i/>
          <w:iCs/>
          <w:sz w:val="20"/>
          <w:rtl w:val="0"/>
          <w:lang w:val="vi-VN" w:eastAsia="vi-VN"/>
        </w:rPr>
        <w:t xml:space="preserve">“c.1) Trường hợp nghiệp vụ kinh tế, tài chính phát sinh bằng ngoại tệ theo quy định của pháp luật về ngoại </w:t>
      </w:r>
      <w:r>
        <w:rPr>
          <w:i/>
          <w:iCs/>
          <w:sz w:val="20"/>
          <w:rtl w:val="0"/>
        </w:rPr>
        <w:t>hối</w:t>
      </w:r>
      <w:r>
        <w:rPr>
          <w:i/>
          <w:iCs/>
          <w:sz w:val="20"/>
          <w:rtl w:val="0"/>
          <w:lang w:val="vi-VN" w:eastAsia="vi-VN"/>
        </w:rPr>
        <w:t xml:space="preserve"> thì </w:t>
      </w:r>
      <w:r>
        <w:rPr>
          <w:i/>
          <w:iCs/>
          <w:sz w:val="20"/>
          <w:rtl w:val="0"/>
        </w:rPr>
        <w:t>đơn giá</w:t>
      </w:r>
      <w:r>
        <w:rPr>
          <w:i/>
          <w:iCs/>
          <w:sz w:val="20"/>
          <w:rtl w:val="0"/>
          <w:lang w:val="vi-VN" w:eastAsia="vi-VN"/>
        </w:rPr>
        <w:t xml:space="preserve">, thành tiền, </w:t>
      </w:r>
      <w:r>
        <w:rPr>
          <w:i/>
          <w:iCs/>
          <w:sz w:val="20"/>
          <w:rtl w:val="0"/>
        </w:rPr>
        <w:t>tổng số</w:t>
      </w:r>
      <w:r>
        <w:rPr>
          <w:i/>
          <w:iCs/>
          <w:sz w:val="20"/>
          <w:rtl w:val="0"/>
          <w:lang w:val="vi-VN" w:eastAsia="vi-VN"/>
        </w:rPr>
        <w:t xml:space="preserve"> tiền thuế </w:t>
      </w:r>
      <w:r>
        <w:rPr>
          <w:i/>
          <w:iCs/>
          <w:sz w:val="20"/>
          <w:rtl w:val="0"/>
        </w:rPr>
        <w:t>giá</w:t>
      </w:r>
      <w:r>
        <w:rPr>
          <w:i/>
          <w:iCs/>
          <w:sz w:val="20"/>
          <w:rtl w:val="0"/>
          <w:lang w:val="vi-VN" w:eastAsia="vi-VN"/>
        </w:rPr>
        <w:t xml:space="preserve"> trị gia tăng theo từng loại thuế suất, tổng cộng tiền thuế </w:t>
      </w:r>
      <w:r>
        <w:rPr>
          <w:i/>
          <w:iCs/>
          <w:sz w:val="20"/>
          <w:rtl w:val="0"/>
        </w:rPr>
        <w:t>giá</w:t>
      </w:r>
      <w:r>
        <w:rPr>
          <w:i/>
          <w:iCs/>
          <w:sz w:val="20"/>
          <w:rtl w:val="0"/>
          <w:lang w:val="vi-VN" w:eastAsia="vi-VN"/>
        </w:rPr>
        <w:t xml:space="preserve"> trị gia tăng, t</w:t>
      </w:r>
      <w:r>
        <w:rPr>
          <w:i/>
          <w:iCs/>
          <w:sz w:val="20"/>
          <w:rtl w:val="0"/>
        </w:rPr>
        <w:t xml:space="preserve">ổng số </w:t>
      </w:r>
      <w:r>
        <w:rPr>
          <w:i/>
          <w:iCs/>
          <w:sz w:val="20"/>
          <w:rtl w:val="0"/>
          <w:lang w:val="vi-VN" w:eastAsia="vi-VN"/>
        </w:rPr>
        <w:t xml:space="preserve">tiền thanh toán được ghi </w:t>
      </w:r>
      <w:r>
        <w:rPr>
          <w:i/>
          <w:iCs/>
          <w:sz w:val="20"/>
          <w:rtl w:val="0"/>
        </w:rPr>
        <w:t>bằng</w:t>
      </w:r>
      <w:r>
        <w:rPr>
          <w:i/>
          <w:iCs/>
          <w:sz w:val="20"/>
          <w:rtl w:val="0"/>
          <w:lang w:val="vi-VN" w:eastAsia="vi-VN"/>
        </w:rPr>
        <w:t xml:space="preserve"> ngoại tệ, đơn vị ti</w:t>
      </w:r>
      <w:r>
        <w:rPr>
          <w:i/>
          <w:iCs/>
          <w:sz w:val="20"/>
          <w:rtl w:val="0"/>
        </w:rPr>
        <w:t>ề</w:t>
      </w:r>
      <w:r>
        <w:rPr>
          <w:i/>
          <w:iCs/>
          <w:sz w:val="20"/>
          <w:rtl w:val="0"/>
          <w:lang w:val="vi-VN" w:eastAsia="vi-VN"/>
        </w:rPr>
        <w:t>n tệ ghi tên ngoại tệ. Người b</w:t>
      </w:r>
      <w:r>
        <w:rPr>
          <w:i/>
          <w:iCs/>
          <w:sz w:val="20"/>
          <w:rtl w:val="0"/>
        </w:rPr>
        <w:t>á</w:t>
      </w:r>
      <w:r>
        <w:rPr>
          <w:i/>
          <w:iCs/>
          <w:sz w:val="20"/>
          <w:rtl w:val="0"/>
          <w:lang w:val="vi-VN" w:eastAsia="vi-VN"/>
        </w:rPr>
        <w:t>n đồng thời thể hiện trên hóa đơn tỷ giá ngoại tệ với đồng Việt Nam theo tỷ gi</w:t>
      </w:r>
      <w:r>
        <w:rPr>
          <w:i/>
          <w:iCs/>
          <w:sz w:val="20"/>
          <w:rtl w:val="0"/>
        </w:rPr>
        <w:t>á</w:t>
      </w:r>
      <w:r>
        <w:rPr>
          <w:i/>
          <w:iCs/>
          <w:sz w:val="20"/>
          <w:rtl w:val="0"/>
          <w:lang w:val="vi-VN" w:eastAsia="vi-VN"/>
        </w:rPr>
        <w:t xml:space="preserve"> theo quy định của Luật Quản lý thuế và các văn bản hướng dẫn thi hành;”</w:t>
      </w:r>
    </w:p>
    <w:p>
      <w:pPr>
        <w:bidi w:val="0"/>
        <w:spacing w:before="120" w:beforeAutospacing="0" w:after="280" w:afterAutospacing="1"/>
      </w:pPr>
      <w:r>
        <w:rPr>
          <w:sz w:val="20"/>
          <w:rtl w:val="0"/>
          <w:lang w:val="vi-VN" w:eastAsia="vi-VN"/>
        </w:rPr>
        <w:t>Tại khoản 1 và khoản 5 Điều 26 Luật Quản lý thuế số 108/2025/QH15 quy</w:t>
      </w:r>
      <w:r>
        <w:rPr>
          <w:sz w:val="20"/>
          <w:rtl w:val="0"/>
          <w:lang w:val="vi-VN" w:eastAsia="vi-VN"/>
        </w:rPr>
        <w:t xml:space="preserve"> </w:t>
      </w:r>
      <w:r>
        <w:rPr>
          <w:sz w:val="20"/>
          <w:rtl w:val="0"/>
          <w:lang w:val="vi-VN" w:eastAsia="vi-VN"/>
        </w:rPr>
        <w:t>định:</w:t>
      </w:r>
    </w:p>
    <w:p>
      <w:pPr>
        <w:bidi w:val="0"/>
        <w:spacing w:before="120" w:beforeAutospacing="0" w:after="280" w:afterAutospacing="1"/>
      </w:pPr>
      <w:r>
        <w:rPr>
          <w:i/>
          <w:iCs/>
          <w:sz w:val="20"/>
          <w:rtl w:val="0"/>
          <w:lang w:val="vi-VN" w:eastAsia="vi-VN"/>
        </w:rPr>
        <w:t>“</w:t>
      </w:r>
      <w:r>
        <w:rPr>
          <w:i/>
          <w:iCs/>
          <w:sz w:val="20"/>
          <w:rtl w:val="0"/>
        </w:rPr>
        <w:t>1.</w:t>
      </w:r>
      <w:r>
        <w:rPr>
          <w:i/>
          <w:iCs/>
          <w:sz w:val="20"/>
          <w:rtl w:val="0"/>
          <w:lang w:val="vi-VN" w:eastAsia="vi-VN"/>
        </w:rPr>
        <w:t xml:space="preserve"> Hóa đơn điện tử là hóa đơn ở dạng dữ liệu điện tử do tổ chức, hộ kinh doanh, cá nhân kinh doanh bán hàng hóa, cung cấp dịch vụ lập để ghi nhận thông tin </w:t>
      </w:r>
      <w:r>
        <w:rPr>
          <w:i/>
          <w:iCs/>
          <w:sz w:val="20"/>
          <w:rtl w:val="0"/>
        </w:rPr>
        <w:t>bán</w:t>
      </w:r>
      <w:r>
        <w:rPr>
          <w:i/>
          <w:iCs/>
          <w:sz w:val="20"/>
          <w:rtl w:val="0"/>
          <w:lang w:val="vi-VN" w:eastAsia="vi-VN"/>
        </w:rPr>
        <w:t xml:space="preserve"> hàng hóa, cung cấp dịch vụ theo quy định của pháp luật về </w:t>
      </w:r>
      <w:r>
        <w:rPr>
          <w:i/>
          <w:iCs/>
          <w:sz w:val="20"/>
          <w:rtl w:val="0"/>
        </w:rPr>
        <w:t>thuế</w:t>
      </w:r>
      <w:r>
        <w:rPr>
          <w:i/>
          <w:iCs/>
          <w:sz w:val="20"/>
          <w:rtl w:val="0"/>
          <w:lang w:val="vi-VN" w:eastAsia="vi-VN"/>
        </w:rPr>
        <w:t xml:space="preserve"> và pháp luật về kế toán.</w:t>
      </w:r>
    </w:p>
    <w:p>
      <w:pPr>
        <w:bidi w:val="0"/>
        <w:spacing w:before="120" w:beforeAutospacing="0" w:after="280" w:afterAutospacing="1"/>
      </w:pPr>
      <w:r>
        <w:rPr>
          <w:i/>
          <w:iCs/>
          <w:sz w:val="20"/>
          <w:rtl w:val="0"/>
          <w:lang w:val="vi-VN" w:eastAsia="vi-VN"/>
        </w:rPr>
        <w:t>5. Nguyên tắc, quyền và trách nhiệm lập, quản lý, sử dụng hóa đơn điện tử:</w:t>
      </w:r>
    </w:p>
    <w:p>
      <w:pPr>
        <w:bidi w:val="0"/>
        <w:spacing w:before="120" w:beforeAutospacing="0" w:after="280" w:afterAutospacing="1"/>
      </w:pPr>
      <w:r>
        <w:rPr>
          <w:i/>
          <w:iCs/>
          <w:sz w:val="20"/>
          <w:rtl w:val="0"/>
          <w:lang w:val="vi-VN" w:eastAsia="vi-VN"/>
        </w:rPr>
        <w:t>a) Tổ chức, hộ kinh doanh, cá nhân kinh doanh phải lập hóa đơn điện tử khi b</w:t>
      </w:r>
      <w:r>
        <w:rPr>
          <w:i/>
          <w:iCs/>
          <w:sz w:val="20"/>
          <w:rtl w:val="0"/>
        </w:rPr>
        <w:t>á</w:t>
      </w:r>
      <w:r>
        <w:rPr>
          <w:i/>
          <w:iCs/>
          <w:sz w:val="20"/>
          <w:rtl w:val="0"/>
          <w:lang w:val="vi-VN" w:eastAsia="vi-VN"/>
        </w:rPr>
        <w:t xml:space="preserve">n hàng hóa, cung cấp dịch vụ </w:t>
      </w:r>
      <w:r>
        <w:rPr>
          <w:i/>
          <w:iCs/>
          <w:sz w:val="20"/>
          <w:rtl w:val="0"/>
        </w:rPr>
        <w:t>để</w:t>
      </w:r>
      <w:r>
        <w:rPr>
          <w:i/>
          <w:iCs/>
          <w:sz w:val="20"/>
          <w:rtl w:val="0"/>
          <w:lang w:val="vi-VN" w:eastAsia="vi-VN"/>
        </w:rPr>
        <w:t xml:space="preserve"> giao cho người mua theo định dạng </w:t>
      </w:r>
      <w:r>
        <w:rPr>
          <w:i/>
          <w:iCs/>
          <w:sz w:val="20"/>
          <w:rtl w:val="0"/>
        </w:rPr>
        <w:t>chuẩn</w:t>
      </w:r>
      <w:r>
        <w:rPr>
          <w:i/>
          <w:iCs/>
          <w:sz w:val="20"/>
          <w:rtl w:val="0"/>
          <w:lang w:val="vi-VN" w:eastAsia="vi-VN"/>
        </w:rPr>
        <w:t xml:space="preserve"> dữ liệu và phải ghi đầy đủ nội dung theo quy định của pháp luật về thuế và pháp luật về kế toán, bảo đảm phản ánh </w:t>
      </w:r>
      <w:r>
        <w:rPr>
          <w:i/>
          <w:iCs/>
          <w:sz w:val="20"/>
          <w:rtl w:val="0"/>
        </w:rPr>
        <w:t>đầy</w:t>
      </w:r>
      <w:r>
        <w:rPr>
          <w:i/>
          <w:iCs/>
          <w:sz w:val="20"/>
          <w:rtl w:val="0"/>
          <w:lang w:val="vi-VN" w:eastAsia="vi-VN"/>
        </w:rPr>
        <w:t xml:space="preserve"> đủ, trung thực nội dung nghiệp vụ kinh tế phát </w:t>
      </w:r>
      <w:r>
        <w:rPr>
          <w:i/>
          <w:iCs/>
          <w:sz w:val="20"/>
          <w:rtl w:val="0"/>
        </w:rPr>
        <w:t>sinh</w:t>
      </w:r>
      <w:r>
        <w:rPr>
          <w:i/>
          <w:iCs/>
          <w:sz w:val="20"/>
          <w:rtl w:val="0"/>
          <w:lang w:val="vi-VN" w:eastAsia="vi-VN"/>
        </w:rPr>
        <w:t xml:space="preserve"> và chịu trách nhiệm trước pháp luật về tính chính xác của hóa đơn đã lập, trừ trường hợp không phải sử dụng hóa đơn điện tử theo quy định của Chính phủ; ”</w:t>
      </w:r>
    </w:p>
    <w:p>
      <w:pPr>
        <w:bidi w:val="0"/>
        <w:spacing w:before="120" w:beforeAutospacing="0" w:after="280" w:afterAutospacing="1"/>
      </w:pPr>
      <w:r>
        <w:rPr>
          <w:sz w:val="20"/>
          <w:rtl w:val="0"/>
          <w:lang w:val="vi-VN" w:eastAsia="vi-VN"/>
        </w:rPr>
        <w:t>Căn cứ quy định nêu trên:</w:t>
      </w:r>
    </w:p>
    <w:p>
      <w:pPr>
        <w:bidi w:val="0"/>
        <w:spacing w:before="120" w:beforeAutospacing="0" w:after="280" w:afterAutospacing="1"/>
      </w:pPr>
      <w:r>
        <w:rPr>
          <w:sz w:val="20"/>
          <w:rtl w:val="0"/>
          <w:lang w:val="vi-VN" w:eastAsia="vi-VN"/>
        </w:rPr>
        <w:t>1. Đối với các trường hợp được khai thuế, khoản thu khác bằng ngoại tệ quy định tại khoản 1 Điều 14 Nghị định số 252/2026/NĐ-CP thì đồng tiền khai, nộp thuế, các khoản thu khác và tỷ giá khai thuế quy đổi thực hiện theo quy định tại Điều 14 Nghị định số 252/2026/NĐ-CP.</w:t>
      </w:r>
    </w:p>
    <w:p>
      <w:pPr>
        <w:bidi w:val="0"/>
        <w:spacing w:before="120" w:beforeAutospacing="0" w:after="280" w:afterAutospacing="1"/>
      </w:pPr>
      <w:r>
        <w:rPr>
          <w:sz w:val="20"/>
          <w:rtl w:val="0"/>
          <w:lang w:val="vi-VN" w:eastAsia="vi-VN"/>
        </w:rPr>
        <w:t>2. Trường hợp nghiệp vụ kinh tế, tài chính phát sinh bằng ngoại tệ theo quy định của pháp luật về ngoại hối thì người bán thể hiện trên hóa đơn tỷ giá ngoại tệ với Đồng Việt Nam theo quy định tại điểm c.</w:t>
      </w:r>
      <w:r>
        <w:rPr>
          <w:sz w:val="20"/>
          <w:rtl w:val="0"/>
        </w:rPr>
        <w:t>1</w:t>
      </w:r>
      <w:r>
        <w:rPr>
          <w:sz w:val="20"/>
          <w:rtl w:val="0"/>
          <w:lang w:val="vi-VN" w:eastAsia="vi-VN"/>
        </w:rPr>
        <w:t xml:space="preserve"> khoản 8 Phụ lục kèm theo Nghị định số 254/2026/NĐ-CP. Căn cứ quy định tại khoản 1, khoản 5 Điều 26 Luật Quản lý thuế số 108/2025/QH15 và pháp luật về kế toán, tỷ giá thể hiện trên hóa đơn là tỷ giá giao dịch thực tế được xác định theo quy định của pháp luật về kế toán.</w:t>
      </w:r>
    </w:p>
    <w:p>
      <w:pPr>
        <w:bidi w:val="0"/>
        <w:spacing w:before="120" w:beforeAutospacing="0" w:after="280" w:afterAutospacing="1"/>
      </w:pPr>
      <w:r>
        <w:rPr>
          <w:sz w:val="20"/>
          <w:rtl w:val="0"/>
          <w:lang w:val="vi-VN" w:eastAsia="vi-VN"/>
        </w:rPr>
        <w:t>Cục Thuế có ý kiến để các Hiệp hội và Thuế tỉnh, thành phố biết, tuyên truyền và hướng dẫn người nộp thuế thực hiện thống nhất./.</w:t>
      </w:r>
    </w:p>
    <w:p>
      <w:pPr>
        <w:bidi w:val="0"/>
        <w:spacing w:before="120" w:beforeAutospacing="0" w:after="280" w:afterAutospacing="1"/>
      </w:pPr>
      <w:r>
        <w:rPr>
          <w:sz w:val="20"/>
          <w:rtl w:val="0"/>
        </w:rPr>
        <w:t> </w:t>
      </w:r>
    </w:p>
    <w:tbl>
      <w:tblPr>
        <w:jc w:val="left"/>
        <w:tblCellMar>
          <w:top w:w="0" w:type="dxa"/>
          <w:left w:w="0" w:type="dxa"/>
          <w:bottom w:w="0" w:type="dxa"/>
          <w:right w:w="0" w:type="dxa"/>
        </w:tblCellMar>
      </w:tblPr>
      <w:tblGrid>
        <w:gridCol w:w="4304"/>
        <w:gridCol w:w="433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sz w:val="20"/>
                <w:rtl w:val="0"/>
                <w:lang w:val="vi-VN" w:eastAsia="vi-VN"/>
              </w:rPr>
              <w:br/>
            </w:r>
            <w:r>
              <w:rPr>
                <w:b/>
                <w:bCs/>
                <w:i/>
                <w:iCs/>
                <w:sz w:val="20"/>
                <w:rtl w:val="0"/>
                <w:lang w:val="vi-VN" w:eastAsia="vi-VN"/>
              </w:rPr>
              <w:t>Nơi nhận:</w:t>
            </w:r>
            <w:r>
              <w:rPr>
                <w:b/>
                <w:bCs/>
                <w:i/>
                <w:iCs/>
                <w:sz w:val="20"/>
                <w:rtl w:val="0"/>
                <w:lang w:val="vi-VN" w:eastAsia="vi-VN"/>
              </w:rPr>
              <w:br/>
            </w:r>
            <w:r>
              <w:rPr>
                <w:sz w:val="16"/>
                <w:rtl w:val="0"/>
                <w:lang w:val="vi-VN" w:eastAsia="vi-VN"/>
              </w:rPr>
              <w:t>- Như trên;</w:t>
            </w:r>
            <w:r>
              <w:rPr>
                <w:sz w:val="16"/>
                <w:rtl w:val="0"/>
                <w:lang w:val="vi-VN" w:eastAsia="vi-VN"/>
              </w:rPr>
              <w:br/>
            </w:r>
            <w:r>
              <w:rPr>
                <w:sz w:val="16"/>
                <w:rtl w:val="0"/>
                <w:lang w:val="vi-VN" w:eastAsia="vi-VN"/>
              </w:rPr>
              <w:t>- Thứ trưởng Cao Anh Tuấn (để b/c);</w:t>
            </w:r>
            <w:r>
              <w:rPr>
                <w:sz w:val="16"/>
                <w:rtl w:val="0"/>
                <w:lang w:val="vi-VN" w:eastAsia="vi-VN"/>
              </w:rPr>
              <w:br/>
            </w:r>
            <w:r>
              <w:rPr>
                <w:sz w:val="16"/>
                <w:rtl w:val="0"/>
                <w:lang w:val="vi-VN" w:eastAsia="vi-VN"/>
              </w:rPr>
              <w:t>- Các Cục: CST, QLKT (BTC);</w:t>
            </w:r>
            <w:r>
              <w:rPr>
                <w:sz w:val="16"/>
                <w:rtl w:val="0"/>
                <w:lang w:val="vi-VN" w:eastAsia="vi-VN"/>
              </w:rPr>
              <w:br/>
            </w:r>
            <w:r>
              <w:rPr>
                <w:sz w:val="16"/>
                <w:rtl w:val="0"/>
                <w:lang w:val="vi-VN" w:eastAsia="vi-VN"/>
              </w:rPr>
              <w:t>- Vụ PC (BTC);</w:t>
            </w:r>
            <w:r>
              <w:rPr>
                <w:sz w:val="16"/>
                <w:rtl w:val="0"/>
                <w:lang w:val="vi-VN" w:eastAsia="vi-VN"/>
              </w:rPr>
              <w:br/>
            </w:r>
            <w:r>
              <w:rPr>
                <w:sz w:val="16"/>
                <w:rtl w:val="0"/>
                <w:lang w:val="vi-VN" w:eastAsia="vi-VN"/>
              </w:rPr>
              <w:t>- Thuế tỉnh, thành phố (để thực hiện);</w:t>
            </w:r>
            <w:r>
              <w:rPr>
                <w:sz w:val="16"/>
                <w:rtl w:val="0"/>
                <w:lang w:val="vi-VN" w:eastAsia="vi-VN"/>
              </w:rPr>
              <w:br/>
            </w:r>
            <w:r>
              <w:rPr>
                <w:sz w:val="16"/>
                <w:rtl w:val="0"/>
                <w:lang w:val="vi-VN" w:eastAsia="vi-VN"/>
              </w:rPr>
              <w:t>- Website của Cục Thuế;</w:t>
            </w:r>
            <w:r>
              <w:rPr>
                <w:sz w:val="16"/>
                <w:rtl w:val="0"/>
                <w:lang w:val="vi-VN" w:eastAsia="vi-VN"/>
              </w:rPr>
              <w:br/>
            </w:r>
            <w:r>
              <w:rPr>
                <w:sz w:val="16"/>
                <w:rtl w:val="0"/>
                <w:lang w:val="vi-VN" w:eastAsia="vi-VN"/>
              </w:rPr>
              <w:t>- Ban PC;</w:t>
            </w:r>
            <w:r>
              <w:rPr>
                <w:sz w:val="16"/>
                <w:rtl w:val="0"/>
                <w:lang w:val="vi-VN" w:eastAsia="vi-VN"/>
              </w:rPr>
              <w:br/>
            </w:r>
            <w:r>
              <w:rPr>
                <w:sz w:val="16"/>
                <w:rtl w:val="0"/>
              </w:rPr>
              <w:t>- Lưu: VT, QLNT.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sz w:val="20"/>
                <w:rtl w:val="0"/>
                <w:lang w:val="vi-VN" w:eastAsia="vi-VN"/>
              </w:rPr>
              <w:t xml:space="preserve">KT. CỤC TRƯỞNG </w:t>
            </w:r>
            <w:r>
              <w:rPr>
                <w:b/>
                <w:bCs/>
                <w:sz w:val="20"/>
                <w:rtl w:val="0"/>
              </w:rPr>
              <w:br/>
            </w:r>
            <w:r>
              <w:rPr>
                <w:b/>
                <w:bCs/>
                <w:sz w:val="20"/>
                <w:rtl w:val="0"/>
                <w:lang w:val="vi-VN" w:eastAsia="vi-VN"/>
              </w:rPr>
              <w:t>PHÓ CỤC TRƯỞNG</w:t>
            </w:r>
            <w:r>
              <w:rPr>
                <w:b/>
                <w:bCs/>
                <w:sz w:val="20"/>
                <w:rtl w:val="0"/>
              </w:rPr>
              <w:br/>
            </w:r>
            <w:r>
              <w:rPr>
                <w:b/>
                <w:bCs/>
                <w:sz w:val="20"/>
                <w:rtl w:val="0"/>
              </w:rPr>
              <w:br/>
            </w:r>
            <w:r>
              <w:rPr>
                <w:b/>
                <w:bCs/>
                <w:sz w:val="20"/>
                <w:rtl w:val="0"/>
              </w:rPr>
              <w:br/>
            </w:r>
            <w:r>
              <w:rPr>
                <w:b/>
                <w:bCs/>
                <w:sz w:val="20"/>
                <w:rtl w:val="0"/>
              </w:rPr>
              <w:br/>
            </w:r>
            <w:r>
              <w:rPr>
                <w:b/>
                <w:bCs/>
                <w:sz w:val="20"/>
                <w:rtl w:val="0"/>
              </w:rPr>
              <w:br/>
            </w:r>
            <w:r>
              <w:rPr>
                <w:b/>
                <w:bCs/>
                <w:sz w:val="20"/>
                <w:rtl w:val="0"/>
              </w:rPr>
              <w:t>Đặng Ngọc Minh</w:t>
            </w:r>
          </w:p>
        </w:tc>
      </w:tr>
    </w:tbl>
    <w:p>
      <w:pPr>
        <w:bidi w:val="0"/>
        <w:spacing w:before="120" w:beforeAutospacing="0" w:after="280" w:afterAutospacing="1"/>
      </w:pPr>
      <w:r>
        <w:rPr>
          <w:sz w:val="2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